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贵宾楼及两舱休息室无线网络功能升级采购项目招标技术需求清单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right="0" w:firstLine="562" w:firstLineChars="200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一、贵宾楼一层和二层面积约为4757平方米外网无线网络覆盖：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default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1、企业专线：速率下行200M、上行200M。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2、主 FTTR 设备，上行支持 XG-PON 技术，实现企业全光千兆接入；光电复合缆点对多点组网，主干光纤共享，光电配线盒与扩展光电配线盒级联，最大可管理 32 从 FTTR。128k NAT Session 网络地址转发能力，带机量 300 用户稳定不掉线。支持 Wi-Fi 漫游，漫游切换时延 50ms。内置硬加速引擎，支持 6Gbps VXLAN 一跳入云，保证高速云端存储和访问。基于安全的 200Mbps IPSec VPN 接入，硬件加密引擎保证隧道性能，保护数据安全。配合 NCE 远程管理、APP 可视化管理，可实现企业网络拓扑可视化、Wi-Fi 远程调优。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3、从 FTTR设备，支持通过光纤上行实现超宽带接入，与主FTTR配合实现企业千兆Wi-Fi覆盖支持Wi-Fi 6，160MHz频宽，空口速率达3Gbps，实测最大速率可达1.2Gbps基于 OFDMA技术，单个从FTTR 64并发连接支持 Wi-Fi 无缝漫游，漫游切换时延 50ms。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二、贵宾楼一层和二层面积约为4757平方米内网无线网络覆盖：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无线覆盖主设备及服务要求同贵宾楼外网的无线覆盖，上联接内网。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三、国内两舱休息室两处（面积分别约为390平方米）外网无线网络覆盖：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宽带：速率下行1000M、上行30M。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default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主 FTTR，上行支持 PON 技术，实现企业全光千兆接入；与从FTTR配合实现企业千兆 Wi-Fi 覆盖。主 FTTR与从 FTTR自动组网，即插即用。光电复合缆点对多点组网，主干光纤共享</w:t>
      </w: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支持 1:5 光电配线盒两级级联。128k NAT Session 网络地址转发能力，带机量 300 用户稳定不掉线。支持 Wi-Fi 漫游，漫游切换时延 100ms。内置硬加速引擎，支持 6Gbps VXLAN 一跳入云，保证高速云端存储和访问。基于安全的 200Mbps IPSec VPN 接入，硬件加密引擎保证隧道性能，保护数据安全。配合 NCE 远程管理、APP 可视化管理，可实现企业网络拓扑可视化、Wi-Fi 远程调优。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leftChars="0" w:right="0" w:firstLine="645" w:firstLineChars="0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从 FTTR设备，支持通过光纤上行实现超宽带接入，与主FTTR配合实现企业千兆Wi-Fi覆盖支持Wi-Fi 6，160MHz频宽，空口速率达3Gbps，实测最大速率可达1.2Gbps基于 OFDMA技术，单个从FTTR 64并发连接支持 Wi-Fi 无缝漫游，漫游切换时延 50ms。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645" w:leftChars="0" w:right="0" w:rightChars="0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四、国际两舱休息室（面积约为160平米）外网无线网络覆盖：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设备及服务要求同国内两舱休息室的无线覆盖。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以上各处外网无线网络覆盖都需满足实名认证登陆和安审的要求。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0" w:right="0" w:firstLine="645"/>
        <w:rPr>
          <w:rFonts w:hint="default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产品参数：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right="0" w:righ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贵宾楼主FTTR设备：</w:t>
      </w:r>
    </w:p>
    <w:tbl>
      <w:tblPr>
        <w:tblStyle w:val="3"/>
        <w:tblW w:w="84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硬件规格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尺寸（宽</w:t>
            </w:r>
            <w:r>
              <w:rPr>
                <w:rStyle w:val="6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深</w:t>
            </w:r>
            <w:r>
              <w:rPr>
                <w:rStyle w:val="6"/>
                <w:lang w:val="en-US" w:eastAsia="zh-CN" w:bidi="ar"/>
              </w:rPr>
              <w:t>×</w:t>
            </w:r>
            <w:r>
              <w:rPr>
                <w:rStyle w:val="7"/>
                <w:lang w:val="en-US" w:eastAsia="zh-CN" w:bidi="ar"/>
              </w:rPr>
              <w:t>高）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442mm x 220mm x 43.6mm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 2.6kg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交流供电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 ～ 240V AC，50/60 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最大输入电流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静态功耗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最大功耗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典型功耗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IP20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网络侧接口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XG-PON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用户侧接口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4*GE+4*POTS+1*GPON+1*USB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工作环境温度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-10°C ~ +40°C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工作环境湿度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5% RH ～ 95% RH，非凝结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645" w:leftChars="0" w:right="0" w:righ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31"/>
          <w:szCs w:val="31"/>
          <w:shd w:val="clear" w:fill="FFFFFF"/>
          <w:lang w:val="en-US" w:eastAsia="zh-CN"/>
        </w:rPr>
      </w:pP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接口参数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上行 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XG-PON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SC/UPC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Class N1/N2a；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接收灵敏度：-28dBm；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过载光功率：-8dBm；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传输速率：上行 2.488Gbit/s，下行 9.953Gbit/s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Type B 单归属保护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Type B 双归属保护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下行 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GPON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XC/UPC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接收灵敏度：-23dBm；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过载光功率：-8dBm；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传输速率：下行 2.488Gbit/s，上行 1.244Gbit/s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LAN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RJ-45 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10Mbit/s 或 100Mbit/s 或 1000Mbit/s 接口速率自适应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符合标准：IEEE802.3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TEL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DB68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传输速率：64Kbit/s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符合标准：ITU-T Q.552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USB 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产品功能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OMCI/Web UI/TR069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呼叫仿真，内/外线测试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PPPoE/DHCP 仿真测试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配合 </w:t>
            </w: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NCE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远程管理维护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近端装维助手 APP**管理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用户手机 APP**管理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安装指引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网络拓扑可视化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一键体检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Wi-Fi 配置***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Wi-Fi 定时开关***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黑名单、上网控制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三层特性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PPPoE Client/静态 IP/DHCP Server/DHCP Client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IPv6/DHCPv6 Server/DHCPv6 Client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DDNS/DNS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静态路由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NAT/NAPT/静态一对一的地址转换功能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DMZ/Port Mapping/Port Tigger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ALG/UPnP/ARP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SIP/H.248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G.711A/u，G.722，G.729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T.38/透传方式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VPN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L2TP VPN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VXLAN 隧道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IPSec 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以太端口限速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802.1p 优先级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SP/WRR/SP+WRR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广播报文速率限制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VLAN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 Bridge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环路检测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DHCP Option82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BPDU 透传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IGMP v2/v3 snooping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IGMP proxy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MLDv1/MLDv2 snooping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组播仿真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GPON 互通组播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SPI 防火墙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IPv4/IPv6 防火墙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 DoS 攻击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MAC/IP/URL 地址过滤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 MAC 地址绑定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支持本地 Portal 认证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支持免认证白名单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V500R022C00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及之后版本支持：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支持仿冒 AP 检测与反制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Wi-Fi 防暴力破解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支持基于应用的行为管理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作为企业主 FTTR 设备，实现全光企业 Wi-Fi 覆盖。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-光纤无电磁干扰，低时延。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-企业网络拓扑可视化管理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-同一主 FTTR 管理下 Wi-Fi 信道自动选择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-支持 Wi-Fi 漫游，主 FTTR 内漫游切换时延 50ms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（802.11k/802.11v 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4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*：需用户终端设备支持 802.11k/802.11v。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**：华为可以提供基础版手机 APP 供运营商使用，运营商可基于华为提供的 SDK 开发定制需求。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***：B866 不支持 Wi-Fi，但可以配置从 FTTR 的 Wi-Fi，即在 B866 上完成 Wi-Fi 参数配置，该 Wi-Fi配置会自动覆盖从FTTR。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left="645" w:leftChars="0" w:right="0" w:rightChars="0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10" w:lineRule="atLeast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565656"/>
          <w:spacing w:val="0"/>
          <w:sz w:val="28"/>
          <w:szCs w:val="28"/>
          <w:shd w:val="clear" w:fill="FFFFFF"/>
          <w:lang w:val="en-US" w:eastAsia="zh-CN"/>
        </w:rPr>
        <w:t>国内两舱休息室、国际两舱休息室主FTTR设备：</w:t>
      </w:r>
    </w:p>
    <w:tbl>
      <w:tblPr>
        <w:tblStyle w:val="3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硬件规格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尺寸（宽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高）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250mm×180mm×43.6mm（不含天线）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重量</w:t>
            </w:r>
            <w:r>
              <w:rPr>
                <w:rStyle w:val="14"/>
                <w:color w:val="auto"/>
                <w:lang w:val="en-US" w:eastAsia="zh-CN" w:bidi="ar"/>
              </w:rPr>
              <w:t xml:space="preserve">（不含适配器） 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约 1.2kg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电源适配器额定输入范围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 ～ 240 V AC，50/60 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整机供电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12V DC，2A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最大功耗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网络侧接口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XG-PON/非对称 10G EPON 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用户侧接口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4*GE+1*POTS+2.4GHz&amp;5GHz Wi-Fi6+1*GPON+1*USB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工作环境温度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-10°C ~ +40°C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工作环境湿度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5% RH ～ 95% RH，非凝结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支持桌面平放、挂墙、19 寸机柜或室内网络箱中安装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光纤接口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网络侧：SC/UPC；用户侧：SC/UPC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tbl>
      <w:tblPr>
        <w:tblStyle w:val="3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接口参数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上行接口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SC/UPC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XG-PON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Class N1/N2a；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接收灵敏度：-28dBm；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过载光功率：-8dBm；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传输速率：上行 2.488Gbit/s，下行 9.953Gbit/s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10G EPON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Class PRX30；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− 接收灵敏度：-28.5dBm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过载光功率：-10dBm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传输速率：上行 1.25Gbit/s，下行 10.312Gbit/s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Type B 单归属保护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Type B 双归属保护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下行 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GPON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SC/UPC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接收灵敏度：-23dBm；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过载光功率：-8dBm；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传输速率：下行 2.488Gbit/s，上行 1.244Gbit/s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Wi-Fi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IEEE 802.11 ax (2.4GHz&amp;5GHz)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2×2 MIMO (2.4GHz&amp;5GHz)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 SSID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空口速率：574 Mbps (2.4GHz)，2402 Mbps (5GHz)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天线增益：5dBi（2.4GHz），7dBi（5GHz）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LAN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RJ-45 接口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10Mbit/s 或 100Mbit/s 或 1000Mbit/s 接口速率自适应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符合标准：IEEE802.3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TEL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接口类型: DB68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传输速率：64Kbit/s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符合标准：ITU-T Q.552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USB 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产品功能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OMCI/Web UI/TR069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呼叫仿真，内/外线测试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PPPoE/DHCP 仿真测试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配合 </w:t>
            </w: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NCE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远程管理维护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近端装维助手 APP**管理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用户手机 APP**管理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安装指引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网络拓扑可视化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一键体检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Wi-Fi 配置***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黑名单、上网控制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三层特性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PPPoE Client/静态 IP/DHCP Server/DHCP Client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IPv6/DHCPv6 Server/DHCPv6 Client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DDNS/DNS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静态路由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NAT/NAPT/静态一对一的地址转换功能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DMZ/Port Mapping/Port Trigger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ALG/UPnP/ARP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SIP/H.248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G.711A/u，G.722，G.729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T.38/透传方式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VPN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L2TP VPN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VXLAN 隧道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IPSec 加密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QoS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以太端口限速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802.1p 优先级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SP/WRR/SP+WRR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广播报文速率限制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VLAN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 Bridge 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环路检测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DHCP Option82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PITP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BPDU 透传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IGMP v2/v3 snooping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IGMP proxy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MLDv1/MLDv2 snooping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组播仿真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GPON 互通组播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SPI 防火墙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IPv4/IPv6 防火墙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 DoS 攻击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MAC/IP/URL 地址过滤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 MAC 地址绑定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支持本地 Portal 认证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支持免认证白名单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支持仿冒 AP 检测与反制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Wi-Fi 防暴力破解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支持基于应用的行为管理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8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作为主 FTTR 设备，实现全光企业 Wi-Fi 覆盖。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-光纤无电磁干扰，低时延。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-企业网络拓扑可视化管理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-同一主 FTTR 下 Wi-Fi 信道自动选择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-支持 Wi-Fi 漫游，主 FTTR 内 Wi-Fi 漫游切换时延 100ms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（802.11k/802.11v 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*：需用户终端设备支持 802.11k/802.11v。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**：华为可以提供基础版手机 APP 供运营商使用，运营商可基于华为提供的 SDK 开发定制需求。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***：在 B866-S1 上完成 Wi-Fi 参数配置，该 Wi-Fi 配置会自动覆盖从 FTTR。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贵宾楼、国内两舱休息室、国际两舱休息室从FTTR设备：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3"/>
        <w:tblW w:w="7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6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硬件规格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尺寸（宽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</w:t>
            </w:r>
            <w:r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200mm×200mm×38mm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重量（不含适配器）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约 0.6kg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整机供电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12V DC, 1.5 A(适配器取电)56V DC, 0.25A(POF*取电)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电源适配器额定输入范围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～ 240V AC，50/60 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静态功耗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典型功耗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最大功耗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复位按键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光纤接口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GPON 上行 (接口类型 XC/UPC)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天线类型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内置天线+智能天线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存储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256MB FLASH，256MB DDR3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吸顶安装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工作环境温度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-10°C ~ +50°C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工作环境湿度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5%RH～95%RH，非凝结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网络侧：GPON，或 GE（复用用户侧GE）用户侧：1GE+2.4GHz&amp;5GHz Wi-Fi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指示灯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 个 WLAN 运行指示灯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IP41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tbl>
      <w:tblPr>
        <w:tblStyle w:val="3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5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Wi-Fi 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规格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支持协议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IEEE 802.11 ax (2.4GHz&amp;5GHz)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MIMO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2×2 MIMO (2.4GHz&amp;5GHz)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天线增益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5dBi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空口速率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574 Mbps (2.4GHz),2402 Mbps (5GHz)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最大发射功率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23dBm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频宽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20/40/80/160MHz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1024-QAM，WPA3，DL MU MIMO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最大接入用户数</w:t>
            </w:r>
          </w:p>
        </w:tc>
        <w:tc>
          <w:tcPr>
            <w:tcW w:w="5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</w:tbl>
    <w:p>
      <w:pPr>
        <w:rPr>
          <w:rFonts w:hint="default"/>
          <w:b/>
          <w:bCs/>
          <w:color w:val="auto"/>
          <w:lang w:val="en-US" w:eastAsia="zh-CN"/>
        </w:rPr>
      </w:pPr>
    </w:p>
    <w:p>
      <w:pPr>
        <w:rPr>
          <w:rFonts w:hint="default"/>
          <w:b/>
          <w:bCs/>
          <w:color w:val="auto"/>
          <w:lang w:val="en-US" w:eastAsia="zh-CN"/>
        </w:rPr>
      </w:pPr>
    </w:p>
    <w:tbl>
      <w:tblPr>
        <w:tblStyle w:val="3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接口参数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下行速率 2.488Gbit/s；上行速率 1.244Gbit/s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即插即用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千兆以太口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 地址限制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MAC 地址学习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支持 10Mbit/s、100Mbit/s、1000Mbit/s 自适应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产品功能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配合主 FTTR，实现企业全光 Wi-Fi 覆盖。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光纤无电磁干扰，低时延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主 FTTR 与从 FTTR 自动组网，即插即用。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Wi-Fi 配置自动同步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主 FTTR 内 Wi-Fi 信道自动选择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− 主 FTTR 内 Wi-Fi 主动漫游（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802.11k/802.11v 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*，漫游切换时延50ms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两种上行方式：光纤或以太网上行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工作模式：桥接模式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MicrosoftYaHei-Bold" w:hAnsi="MicrosoftYaHei-Bold" w:eastAsia="MicrosoftYaHei-Bold" w:cs="MicrosoftYaHei-Bold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O&amp;M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Web UI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13"/>
                <w:szCs w:val="13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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软件双备份和回滚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*：需用户终端设备支持 802.11k/802.11v。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6DE1DF"/>
    <w:multiLevelType w:val="singleLevel"/>
    <w:tmpl w:val="AD6DE1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57A3E3"/>
    <w:multiLevelType w:val="singleLevel"/>
    <w:tmpl w:val="F257A3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2MzI2MzExODAwNzQ5YzE4NWQwZWRhYjUzMTAifQ=="/>
  </w:docVars>
  <w:rsids>
    <w:rsidRoot w:val="6FE121D7"/>
    <w:rsid w:val="0ECD6DF7"/>
    <w:rsid w:val="115D72B3"/>
    <w:rsid w:val="16DD5516"/>
    <w:rsid w:val="24310E73"/>
    <w:rsid w:val="2C2045B2"/>
    <w:rsid w:val="33CE79FF"/>
    <w:rsid w:val="50FE19EC"/>
    <w:rsid w:val="526D7CA2"/>
    <w:rsid w:val="53620E89"/>
    <w:rsid w:val="53B04DE4"/>
    <w:rsid w:val="6058617A"/>
    <w:rsid w:val="629B0BFD"/>
    <w:rsid w:val="69653029"/>
    <w:rsid w:val="6FC860C0"/>
    <w:rsid w:val="6FE121D7"/>
    <w:rsid w:val="711F373C"/>
    <w:rsid w:val="73766722"/>
    <w:rsid w:val="74277859"/>
    <w:rsid w:val="78372035"/>
    <w:rsid w:val="7E9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ascii="MicrosoftYaHei-Bold" w:hAnsi="MicrosoftYaHei-Bold" w:eastAsia="MicrosoftYaHei-Bold" w:cs="MicrosoftYaHei-Bold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ascii="MicrosoftYaHei-Bold" w:hAnsi="MicrosoftYaHei-Bold" w:eastAsia="MicrosoftYaHei-Bold" w:cs="MicrosoftYaHei-Bold"/>
      <w:b/>
      <w:bCs/>
      <w:color w:val="0070C0"/>
      <w:sz w:val="18"/>
      <w:szCs w:val="18"/>
      <w:u w:val="none"/>
    </w:rPr>
  </w:style>
  <w:style w:type="character" w:customStyle="1" w:styleId="9">
    <w:name w:val="font81"/>
    <w:basedOn w:val="4"/>
    <w:qFormat/>
    <w:uiPriority w:val="0"/>
    <w:rPr>
      <w:rFonts w:hint="eastAsia" w:ascii="微软雅黑" w:hAnsi="微软雅黑" w:eastAsia="微软雅黑" w:cs="微软雅黑"/>
      <w:color w:val="0079C3"/>
      <w:sz w:val="18"/>
      <w:szCs w:val="18"/>
      <w:u w:val="none"/>
    </w:rPr>
  </w:style>
  <w:style w:type="character" w:customStyle="1" w:styleId="10">
    <w:name w:val="font91"/>
    <w:basedOn w:val="4"/>
    <w:qFormat/>
    <w:uiPriority w:val="0"/>
    <w:rPr>
      <w:rFonts w:hint="eastAsia" w:ascii="微软雅黑" w:hAnsi="微软雅黑" w:eastAsia="微软雅黑" w:cs="微软雅黑"/>
      <w:color w:val="404040"/>
      <w:sz w:val="18"/>
      <w:szCs w:val="18"/>
      <w:u w:val="none"/>
    </w:rPr>
  </w:style>
  <w:style w:type="character" w:customStyle="1" w:styleId="11">
    <w:name w:val="font71"/>
    <w:basedOn w:val="4"/>
    <w:qFormat/>
    <w:uiPriority w:val="0"/>
    <w:rPr>
      <w:rFonts w:hint="default" w:ascii="MicrosoftYaHei-Bold" w:hAnsi="MicrosoftYaHei-Bold" w:eastAsia="MicrosoftYaHei-Bold" w:cs="MicrosoftYaHei-Bold"/>
      <w:b/>
      <w:bCs/>
      <w:color w:val="000000"/>
      <w:sz w:val="18"/>
      <w:szCs w:val="18"/>
      <w:u w:val="none"/>
    </w:rPr>
  </w:style>
  <w:style w:type="character" w:customStyle="1" w:styleId="12">
    <w:name w:val="font6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  <w:style w:type="character" w:customStyle="1" w:styleId="13">
    <w:name w:val="font11"/>
    <w:basedOn w:val="4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4">
    <w:name w:val="font21"/>
    <w:basedOn w:val="4"/>
    <w:qFormat/>
    <w:uiPriority w:val="0"/>
    <w:rPr>
      <w:rFonts w:hint="eastAsia" w:ascii="微软雅黑" w:hAnsi="微软雅黑" w:eastAsia="微软雅黑" w:cs="微软雅黑"/>
      <w:color w:val="0070C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浙江分公司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xyj</dc:creator>
  <cp:lastModifiedBy>郑姝男</cp:lastModifiedBy>
  <dcterms:modified xsi:type="dcterms:W3CDTF">2023-12-11T06:26:35Z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D1BAD2361BB9476E8A343E6137D77147</vt:lpwstr>
  </property>
</Properties>
</file>